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E7B5" w14:textId="43C8C6B9" w:rsidR="007906FC" w:rsidRPr="007906FC" w:rsidRDefault="007906FC" w:rsidP="007906FC">
      <w:pPr>
        <w:pStyle w:val="Title"/>
        <w:jc w:val="center"/>
        <w:rPr>
          <w:rFonts w:ascii="Arial" w:hAnsi="Arial" w:cs="Arial"/>
          <w:b/>
          <w:bCs/>
          <w:color w:val="auto"/>
          <w:sz w:val="30"/>
          <w:szCs w:val="30"/>
        </w:rPr>
      </w:pPr>
      <w:r w:rsidRPr="007906FC">
        <w:rPr>
          <w:rFonts w:ascii="Arial" w:hAnsi="Arial" w:cs="Arial"/>
          <w:b/>
          <w:bCs/>
          <w:noProof/>
          <w:color w:val="auto"/>
          <w:sz w:val="36"/>
          <w:szCs w:val="36"/>
        </w:rPr>
        <w:drawing>
          <wp:anchor distT="0" distB="0" distL="114300" distR="114300" simplePos="0" relativeHeight="251661824" behindDoc="0" locked="0" layoutInCell="1" allowOverlap="1" wp14:anchorId="77D34E09" wp14:editId="0D3C01CD">
            <wp:simplePos x="0" y="0"/>
            <wp:positionH relativeFrom="column">
              <wp:posOffset>5410200</wp:posOffset>
            </wp:positionH>
            <wp:positionV relativeFrom="paragraph">
              <wp:posOffset>-657225</wp:posOffset>
            </wp:positionV>
            <wp:extent cx="838200" cy="838200"/>
            <wp:effectExtent l="0" t="0" r="0" b="0"/>
            <wp:wrapNone/>
            <wp:docPr id="212238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85362" name="Picture 2122385362"/>
                    <pic:cNvPicPr/>
                  </pic:nvPicPr>
                  <pic:blipFill>
                    <a:blip r:embed="rId6"/>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Pr="007906FC">
        <w:rPr>
          <w:rFonts w:ascii="Arial" w:hAnsi="Arial" w:cs="Arial"/>
          <w:b/>
          <w:bCs/>
          <w:color w:val="auto"/>
          <w:sz w:val="30"/>
          <w:szCs w:val="30"/>
        </w:rPr>
        <w:t>Get Me Out The Four Walls (GMOTFW)</w:t>
      </w:r>
    </w:p>
    <w:p w14:paraId="502D37A7" w14:textId="4AA5555E" w:rsidR="007906FC" w:rsidRPr="007906FC" w:rsidRDefault="00C4637B" w:rsidP="007906FC">
      <w:pPr>
        <w:pStyle w:val="Title"/>
        <w:jc w:val="center"/>
        <w:rPr>
          <w:rFonts w:ascii="Arial" w:hAnsi="Arial" w:cs="Arial"/>
          <w:b/>
          <w:bCs/>
          <w:color w:val="auto"/>
          <w:sz w:val="36"/>
          <w:szCs w:val="36"/>
        </w:rPr>
      </w:pPr>
      <w:r w:rsidRPr="007906FC">
        <w:rPr>
          <w:rFonts w:ascii="Arial" w:hAnsi="Arial" w:cs="Arial"/>
          <w:b/>
          <w:bCs/>
          <w:color w:val="auto"/>
          <w:sz w:val="36"/>
          <w:szCs w:val="36"/>
        </w:rPr>
        <w:t xml:space="preserve">Equality, Diversity and </w:t>
      </w:r>
    </w:p>
    <w:p w14:paraId="0412F2F5" w14:textId="552D9154" w:rsidR="00E207BF" w:rsidRPr="007906FC" w:rsidRDefault="00C4637B" w:rsidP="007906FC">
      <w:pPr>
        <w:pStyle w:val="Title"/>
        <w:jc w:val="center"/>
        <w:rPr>
          <w:rFonts w:ascii="Arial" w:hAnsi="Arial" w:cs="Arial"/>
          <w:b/>
          <w:bCs/>
          <w:color w:val="auto"/>
          <w:sz w:val="36"/>
          <w:szCs w:val="36"/>
        </w:rPr>
      </w:pPr>
      <w:r w:rsidRPr="007906FC">
        <w:rPr>
          <w:rFonts w:ascii="Arial" w:hAnsi="Arial" w:cs="Arial"/>
          <w:b/>
          <w:bCs/>
          <w:color w:val="auto"/>
          <w:sz w:val="36"/>
          <w:szCs w:val="36"/>
        </w:rPr>
        <w:t>Equal Opportunities Policy</w:t>
      </w:r>
    </w:p>
    <w:p w14:paraId="65FF5CDF" w14:textId="77777777" w:rsidR="00E207BF" w:rsidRPr="007906FC" w:rsidRDefault="00C4637B">
      <w:pPr>
        <w:pStyle w:val="Heading1"/>
        <w:rPr>
          <w:color w:val="auto"/>
        </w:rPr>
      </w:pPr>
      <w:r w:rsidRPr="007906FC">
        <w:rPr>
          <w:color w:val="auto"/>
        </w:rPr>
        <w:t>1. Policy Statement</w:t>
      </w:r>
    </w:p>
    <w:p w14:paraId="109AB5E0" w14:textId="242C88C6" w:rsidR="00E207BF" w:rsidRPr="007906FC" w:rsidRDefault="00C4637B">
      <w:r w:rsidRPr="007906FC">
        <w:t>Get Me Out The</w:t>
      </w:r>
      <w:r w:rsidRPr="007906FC">
        <w:t xml:space="preserve"> Four Walls (GMOTFW) is committed to promoting equality, diversity, and inclusion in all aspects of its operations, both as an employer and a service provider. This policy outlines the standards and procedures designed to eliminate discrimination, promote fairness, and celebrate the diversity of everyone involved with the </w:t>
      </w:r>
      <w:r w:rsidR="00604C13" w:rsidRPr="007906FC">
        <w:t>organi</w:t>
      </w:r>
      <w:r w:rsidR="00604C13">
        <w:t>s</w:t>
      </w:r>
      <w:r w:rsidR="00604C13" w:rsidRPr="007906FC">
        <w:t>ation</w:t>
      </w:r>
      <w:r w:rsidRPr="007906FC">
        <w:t>, including staff, volunteers, and beneficiaries.</w:t>
      </w:r>
    </w:p>
    <w:p w14:paraId="1A400434" w14:textId="77777777" w:rsidR="00E207BF" w:rsidRPr="007906FC" w:rsidRDefault="00C4637B">
      <w:pPr>
        <w:pStyle w:val="Heading1"/>
        <w:rPr>
          <w:color w:val="auto"/>
        </w:rPr>
      </w:pPr>
      <w:r w:rsidRPr="007906FC">
        <w:rPr>
          <w:color w:val="auto"/>
        </w:rPr>
        <w:t>2. Purpose and Objectives</w:t>
      </w:r>
    </w:p>
    <w:p w14:paraId="24EE10B7" w14:textId="77777777" w:rsidR="00E207BF" w:rsidRPr="007906FC" w:rsidRDefault="00C4637B">
      <w:r w:rsidRPr="007906FC">
        <w:t>The objectives of this policy are to:</w:t>
      </w:r>
    </w:p>
    <w:p w14:paraId="5C03FD71" w14:textId="77777777" w:rsidR="00E207BF" w:rsidRPr="007906FC" w:rsidRDefault="00C4637B">
      <w:pPr>
        <w:pStyle w:val="ListBullet"/>
      </w:pPr>
      <w:r w:rsidRPr="007906FC">
        <w:t>Prevent both direct and indirect discrimination.</w:t>
      </w:r>
    </w:p>
    <w:p w14:paraId="201EC466" w14:textId="77777777" w:rsidR="00E207BF" w:rsidRPr="007906FC" w:rsidRDefault="00C4637B">
      <w:pPr>
        <w:pStyle w:val="ListBullet"/>
      </w:pPr>
      <w:r w:rsidRPr="007906FC">
        <w:t>Ensure equal treatment and opportunities for all staff, volunteers, applicants, and service users.</w:t>
      </w:r>
    </w:p>
    <w:p w14:paraId="5761498E" w14:textId="77777777" w:rsidR="00E207BF" w:rsidRPr="007906FC" w:rsidRDefault="00C4637B">
      <w:pPr>
        <w:pStyle w:val="ListBullet"/>
      </w:pPr>
      <w:r w:rsidRPr="007906FC">
        <w:t>Promote inclusion and accessibility in all services and employment practices.</w:t>
      </w:r>
    </w:p>
    <w:p w14:paraId="4A4FB7E2" w14:textId="77777777" w:rsidR="00E207BF" w:rsidRPr="007906FC" w:rsidRDefault="00C4637B">
      <w:pPr>
        <w:pStyle w:val="ListBullet"/>
      </w:pPr>
      <w:r w:rsidRPr="007906FC">
        <w:t>Encourage the full participation of underrepresented and marginalised groups.</w:t>
      </w:r>
    </w:p>
    <w:p w14:paraId="6F4E3722" w14:textId="77777777" w:rsidR="00E207BF" w:rsidRPr="007906FC" w:rsidRDefault="00C4637B">
      <w:pPr>
        <w:pStyle w:val="Heading1"/>
        <w:rPr>
          <w:color w:val="auto"/>
        </w:rPr>
      </w:pPr>
      <w:r w:rsidRPr="007906FC">
        <w:rPr>
          <w:color w:val="auto"/>
        </w:rPr>
        <w:t>3. Core Principles</w:t>
      </w:r>
    </w:p>
    <w:p w14:paraId="26A611FB" w14:textId="77777777" w:rsidR="00E207BF" w:rsidRPr="007906FC" w:rsidRDefault="00C4637B">
      <w:pPr>
        <w:pStyle w:val="ListBullet"/>
      </w:pPr>
      <w:r w:rsidRPr="007906FC">
        <w:t>Diversity – Respecting and valuing individual differences in needs, values, and beliefs.</w:t>
      </w:r>
    </w:p>
    <w:p w14:paraId="4C0CA320" w14:textId="77777777" w:rsidR="00E207BF" w:rsidRPr="007906FC" w:rsidRDefault="00C4637B">
      <w:pPr>
        <w:pStyle w:val="ListBullet"/>
      </w:pPr>
      <w:r w:rsidRPr="007906FC">
        <w:t>Equity – Ensuring freedom from discrimination and harassment.</w:t>
      </w:r>
    </w:p>
    <w:p w14:paraId="1BDACD68" w14:textId="77777777" w:rsidR="00E207BF" w:rsidRPr="007906FC" w:rsidRDefault="00C4637B">
      <w:pPr>
        <w:pStyle w:val="ListBullet"/>
      </w:pPr>
      <w:r w:rsidRPr="007906FC">
        <w:t>Access and Inclusion – Removing barriers to employment and participation.</w:t>
      </w:r>
    </w:p>
    <w:p w14:paraId="3406CCE6" w14:textId="77777777" w:rsidR="00E207BF" w:rsidRPr="007906FC" w:rsidRDefault="00C4637B">
      <w:pPr>
        <w:pStyle w:val="ListBullet"/>
      </w:pPr>
      <w:r w:rsidRPr="007906FC">
        <w:t>Communication – Using inclusive, accessible language in all media and communications.</w:t>
      </w:r>
    </w:p>
    <w:p w14:paraId="03EF5D4A" w14:textId="77777777" w:rsidR="00E207BF" w:rsidRPr="007906FC" w:rsidRDefault="00C4637B">
      <w:pPr>
        <w:pStyle w:val="ListBullet"/>
      </w:pPr>
      <w:r w:rsidRPr="007906FC">
        <w:t>Quality – Delivering high-quality services and support equally to all.</w:t>
      </w:r>
    </w:p>
    <w:p w14:paraId="10DA892C" w14:textId="77777777" w:rsidR="00E207BF" w:rsidRPr="007906FC" w:rsidRDefault="00C4637B">
      <w:pPr>
        <w:pStyle w:val="Heading1"/>
        <w:rPr>
          <w:color w:val="auto"/>
        </w:rPr>
      </w:pPr>
      <w:r w:rsidRPr="007906FC">
        <w:rPr>
          <w:color w:val="auto"/>
        </w:rPr>
        <w:t>4. Protected Characteristics</w:t>
      </w:r>
    </w:p>
    <w:p w14:paraId="2ACD13AF" w14:textId="77777777" w:rsidR="00E207BF" w:rsidRPr="007906FC" w:rsidRDefault="00C4637B">
      <w:r w:rsidRPr="007906FC">
        <w:t>Under the Equality Act 2010, GMOTFW protects against discrimination based on: age, disability, gender reassignment, marriage and civil partnership, pregnancy and maternity, race, religion or belief, sex, and sexual orientation.</w:t>
      </w:r>
    </w:p>
    <w:p w14:paraId="1878EAFB" w14:textId="77777777" w:rsidR="00E207BF" w:rsidRPr="007906FC" w:rsidRDefault="00C4637B">
      <w:pPr>
        <w:pStyle w:val="Heading1"/>
        <w:rPr>
          <w:color w:val="auto"/>
        </w:rPr>
      </w:pPr>
      <w:r w:rsidRPr="007906FC">
        <w:rPr>
          <w:color w:val="auto"/>
        </w:rPr>
        <w:t>5. Types of Discrimination</w:t>
      </w:r>
    </w:p>
    <w:p w14:paraId="71DB60D1" w14:textId="77777777" w:rsidR="00E207BF" w:rsidRPr="007906FC" w:rsidRDefault="00C4637B">
      <w:pPr>
        <w:pStyle w:val="ListBullet"/>
      </w:pPr>
      <w:r w:rsidRPr="007906FC">
        <w:t>Direct Discrimination – Treating someone less favourably because of a protected characteristic.</w:t>
      </w:r>
    </w:p>
    <w:p w14:paraId="081E36A1" w14:textId="77777777" w:rsidR="00E207BF" w:rsidRPr="007906FC" w:rsidRDefault="00C4637B">
      <w:pPr>
        <w:pStyle w:val="ListBullet"/>
      </w:pPr>
      <w:r w:rsidRPr="007906FC">
        <w:t>Indirect Discrimination – Applying rules or policies that disadvantage certain groups disproportionately.</w:t>
      </w:r>
    </w:p>
    <w:p w14:paraId="0A2265FB" w14:textId="77777777" w:rsidR="00E207BF" w:rsidRPr="007906FC" w:rsidRDefault="00C4637B">
      <w:pPr>
        <w:pStyle w:val="ListBullet"/>
      </w:pPr>
      <w:r w:rsidRPr="007906FC">
        <w:lastRenderedPageBreak/>
        <w:t>Victimisation – Subjecting someone to detriment for raising or supporting a discrimination complaint.</w:t>
      </w:r>
    </w:p>
    <w:p w14:paraId="64AEF718" w14:textId="77777777" w:rsidR="00E207BF" w:rsidRPr="007906FC" w:rsidRDefault="00C4637B">
      <w:pPr>
        <w:pStyle w:val="ListBullet"/>
      </w:pPr>
      <w:r w:rsidRPr="007906FC">
        <w:t>Harassment – Unwanted conduct that violates dignity or creates an intimidating environment.</w:t>
      </w:r>
    </w:p>
    <w:p w14:paraId="274A344E" w14:textId="77777777" w:rsidR="00E207BF" w:rsidRPr="007906FC" w:rsidRDefault="00C4637B">
      <w:pPr>
        <w:pStyle w:val="Heading1"/>
        <w:rPr>
          <w:color w:val="auto"/>
        </w:rPr>
      </w:pPr>
      <w:r w:rsidRPr="007906FC">
        <w:rPr>
          <w:color w:val="auto"/>
        </w:rPr>
        <w:t>6. Recruitment, Selection and Employment</w:t>
      </w:r>
    </w:p>
    <w:p w14:paraId="64C54CFB" w14:textId="77777777" w:rsidR="00E207BF" w:rsidRPr="007906FC" w:rsidRDefault="00C4637B">
      <w:r w:rsidRPr="007906FC">
        <w:t>GMOTFW is committed to fair, objective, and inclusive recruitment practices. All job adverts and specifications will:</w:t>
      </w:r>
    </w:p>
    <w:p w14:paraId="00271F51" w14:textId="77777777" w:rsidR="00E207BF" w:rsidRPr="007906FC" w:rsidRDefault="00C4637B">
      <w:pPr>
        <w:pStyle w:val="ListBullet"/>
      </w:pPr>
      <w:r w:rsidRPr="007906FC">
        <w:t>Encourage applications from all sections of the community.</w:t>
      </w:r>
    </w:p>
    <w:p w14:paraId="77E909A4" w14:textId="77777777" w:rsidR="00E207BF" w:rsidRPr="007906FC" w:rsidRDefault="00C4637B">
      <w:pPr>
        <w:pStyle w:val="ListBullet"/>
      </w:pPr>
      <w:r w:rsidRPr="007906FC">
        <w:t>Be based solely on qualifications, experience, and skills required.</w:t>
      </w:r>
    </w:p>
    <w:p w14:paraId="4223C0A8" w14:textId="77777777" w:rsidR="00E207BF" w:rsidRPr="007906FC" w:rsidRDefault="00C4637B">
      <w:pPr>
        <w:pStyle w:val="ListBullet"/>
      </w:pPr>
      <w:r w:rsidRPr="007906FC">
        <w:t>Avoid language or criteria that could exclude underrepresented groups unless justified.</w:t>
      </w:r>
    </w:p>
    <w:p w14:paraId="70A2BA6E" w14:textId="77777777" w:rsidR="00E207BF" w:rsidRPr="007906FC" w:rsidRDefault="00C4637B">
      <w:pPr>
        <w:pStyle w:val="ListBullet"/>
      </w:pPr>
      <w:r w:rsidRPr="007906FC">
        <w:t>Comply with lawful occupational requirements, where applicable.</w:t>
      </w:r>
    </w:p>
    <w:p w14:paraId="2DD70027" w14:textId="77777777" w:rsidR="00E207BF" w:rsidRPr="007906FC" w:rsidRDefault="00C4637B">
      <w:r w:rsidRPr="007906FC">
        <w:t>Shortlisting and interviews will be conducted fairly, and any identifying applicant information will be anonymised where possible. Reasonable adjustments will be made for disabled applicants.</w:t>
      </w:r>
    </w:p>
    <w:p w14:paraId="2C2DAB1D" w14:textId="77777777" w:rsidR="00E207BF" w:rsidRPr="007906FC" w:rsidRDefault="00C4637B">
      <w:pPr>
        <w:pStyle w:val="Heading1"/>
        <w:rPr>
          <w:color w:val="auto"/>
        </w:rPr>
      </w:pPr>
      <w:r w:rsidRPr="007906FC">
        <w:rPr>
          <w:color w:val="auto"/>
        </w:rPr>
        <w:t>7. Equal Pay and Employment Terms</w:t>
      </w:r>
    </w:p>
    <w:p w14:paraId="6F0A544B" w14:textId="77777777" w:rsidR="00E207BF" w:rsidRPr="007906FC" w:rsidRDefault="00C4637B">
      <w:r w:rsidRPr="007906FC">
        <w:t>GMOTFW is committed to equal pay for equal work and reviews pay structures to ensure fairness and transparency. All terms and conditions, benefits, and opportunities for development are offered equitably.</w:t>
      </w:r>
    </w:p>
    <w:p w14:paraId="7A50BC80" w14:textId="77777777" w:rsidR="00E207BF" w:rsidRPr="007906FC" w:rsidRDefault="00C4637B">
      <w:pPr>
        <w:pStyle w:val="Heading1"/>
        <w:rPr>
          <w:color w:val="auto"/>
        </w:rPr>
      </w:pPr>
      <w:r w:rsidRPr="007906FC">
        <w:rPr>
          <w:color w:val="auto"/>
        </w:rPr>
        <w:t>8. Training and Promotion</w:t>
      </w:r>
    </w:p>
    <w:p w14:paraId="065C7310" w14:textId="77777777" w:rsidR="00E207BF" w:rsidRPr="007906FC" w:rsidRDefault="00C4637B">
      <w:r w:rsidRPr="007906FC">
        <w:t>GMOTFW provides training to all employees and volunteers on equality, diversity, and inclusion. Managers receive additional training on:</w:t>
      </w:r>
    </w:p>
    <w:p w14:paraId="23B6EA55" w14:textId="77777777" w:rsidR="00E207BF" w:rsidRPr="007906FC" w:rsidRDefault="00C4637B">
      <w:pPr>
        <w:pStyle w:val="ListBullet"/>
      </w:pPr>
      <w:r w:rsidRPr="007906FC">
        <w:t>Identifying and addressing discriminatory behaviour.</w:t>
      </w:r>
    </w:p>
    <w:p w14:paraId="3B48773A" w14:textId="77777777" w:rsidR="00E207BF" w:rsidRPr="007906FC" w:rsidRDefault="00C4637B">
      <w:pPr>
        <w:pStyle w:val="ListBullet"/>
      </w:pPr>
      <w:r w:rsidRPr="007906FC">
        <w:t>Ensuring inclusive decision-making in promotions and salary reviews.</w:t>
      </w:r>
    </w:p>
    <w:p w14:paraId="6612B652" w14:textId="77777777" w:rsidR="00E207BF" w:rsidRPr="007906FC" w:rsidRDefault="00C4637B">
      <w:pPr>
        <w:pStyle w:val="ListBullet"/>
      </w:pPr>
      <w:r w:rsidRPr="007906FC">
        <w:t>Supporting diverse staff through mentoring and professional development.</w:t>
      </w:r>
    </w:p>
    <w:p w14:paraId="76E96837" w14:textId="77777777" w:rsidR="00E207BF" w:rsidRPr="007906FC" w:rsidRDefault="00C4637B">
      <w:pPr>
        <w:pStyle w:val="Heading1"/>
        <w:rPr>
          <w:color w:val="auto"/>
        </w:rPr>
      </w:pPr>
      <w:r w:rsidRPr="007906FC">
        <w:rPr>
          <w:color w:val="auto"/>
        </w:rPr>
        <w:t>9. Responsibilities</w:t>
      </w:r>
    </w:p>
    <w:p w14:paraId="734FEC8E" w14:textId="7A463E18" w:rsidR="00E207BF" w:rsidRPr="007906FC" w:rsidRDefault="00C4637B">
      <w:r w:rsidRPr="007906FC">
        <w:t>All staff, volunteers, and Trustees have a responsibility to uphold this policy. GMOTFW has appointed</w:t>
      </w:r>
      <w:r w:rsidR="007906FC">
        <w:t xml:space="preserve"> Carrie Dagraca</w:t>
      </w:r>
      <w:r w:rsidRPr="007906FC">
        <w:t xml:space="preserve"> (</w:t>
      </w:r>
      <w:r w:rsidR="007906FC">
        <w:t xml:space="preserve">Charity </w:t>
      </w:r>
      <w:r w:rsidRPr="007906FC">
        <w:t>Manager) to oversee the policy’s implementation and compliance.</w:t>
      </w:r>
    </w:p>
    <w:p w14:paraId="5C32F70D" w14:textId="77777777" w:rsidR="00E207BF" w:rsidRPr="007906FC" w:rsidRDefault="00C4637B">
      <w:pPr>
        <w:pStyle w:val="Heading1"/>
        <w:rPr>
          <w:color w:val="auto"/>
        </w:rPr>
      </w:pPr>
      <w:r w:rsidRPr="007906FC">
        <w:rPr>
          <w:color w:val="auto"/>
        </w:rPr>
        <w:lastRenderedPageBreak/>
        <w:t>10. Complaints Procedure</w:t>
      </w:r>
    </w:p>
    <w:p w14:paraId="2A3C841E" w14:textId="77777777" w:rsidR="00E207BF" w:rsidRPr="007906FC" w:rsidRDefault="00C4637B">
      <w:r w:rsidRPr="007906FC">
        <w:t>Complaints about discrimination, harassment, or unfair treatment will be handled seriously, confidentially, and promptly, following GMOTFW’s grievance procedure. No individual will suffer retaliation for raising a genuine concern.</w:t>
      </w:r>
    </w:p>
    <w:p w14:paraId="6EA536EE" w14:textId="77777777" w:rsidR="00E207BF" w:rsidRPr="007906FC" w:rsidRDefault="00C4637B">
      <w:pPr>
        <w:pStyle w:val="Heading1"/>
        <w:rPr>
          <w:color w:val="auto"/>
        </w:rPr>
      </w:pPr>
      <w:r w:rsidRPr="007906FC">
        <w:rPr>
          <w:color w:val="auto"/>
        </w:rPr>
        <w:t>11. Access to Work</w:t>
      </w:r>
    </w:p>
    <w:p w14:paraId="533945F7" w14:textId="77777777" w:rsidR="00E207BF" w:rsidRPr="007906FC" w:rsidRDefault="00C4637B">
      <w:r w:rsidRPr="007906FC">
        <w:t>GMOTFW encourages staff with disabilities or health conditions to apply to the government’s Access to Work scheme for support with work-related adjustments.</w:t>
      </w:r>
    </w:p>
    <w:p w14:paraId="573DF829" w14:textId="77777777" w:rsidR="00E207BF" w:rsidRPr="007906FC" w:rsidRDefault="00C4637B">
      <w:pPr>
        <w:pStyle w:val="Heading1"/>
        <w:rPr>
          <w:color w:val="auto"/>
        </w:rPr>
      </w:pPr>
      <w:r w:rsidRPr="007906FC">
        <w:rPr>
          <w:color w:val="auto"/>
        </w:rPr>
        <w:t>12. Monitoring and Review</w:t>
      </w:r>
    </w:p>
    <w:p w14:paraId="7F661827" w14:textId="77777777" w:rsidR="00E207BF" w:rsidRPr="007906FC" w:rsidRDefault="00C4637B">
      <w:r w:rsidRPr="007906FC">
        <w:t>GMOTFW monitors recruitment, pay, and employment practices to ensure compliance and fairness. The policy is reviewed annually to assess its effectiveness and will be updated as necessary to reflect changes in legislation or organisational priorities.</w:t>
      </w:r>
    </w:p>
    <w:p w14:paraId="0AB99984" w14:textId="77777777" w:rsidR="00E207BF" w:rsidRPr="007906FC" w:rsidRDefault="00C4637B">
      <w:pPr>
        <w:pStyle w:val="Heading1"/>
        <w:rPr>
          <w:color w:val="auto"/>
        </w:rPr>
      </w:pPr>
      <w:r w:rsidRPr="007906FC">
        <w:rPr>
          <w:color w:val="auto"/>
        </w:rPr>
        <w:t>13. Data Protection</w:t>
      </w:r>
    </w:p>
    <w:p w14:paraId="0D430E7C" w14:textId="77777777" w:rsidR="00E207BF" w:rsidRPr="007906FC" w:rsidRDefault="00C4637B">
      <w:r w:rsidRPr="007906FC">
        <w:t>Any data collected in connection with this policy will be handled in accordance with GMOTFW’s GDPR and data protection policy. All personal information will be kept secure and confidential.</w:t>
      </w:r>
    </w:p>
    <w:p w14:paraId="608F60FE" w14:textId="173529A9" w:rsidR="00E207BF" w:rsidRPr="007906FC" w:rsidRDefault="00C4637B">
      <w:r w:rsidRPr="007906FC">
        <w:br/>
        <w:t>Policy Adopted:</w:t>
      </w:r>
      <w:r w:rsidR="007906FC">
        <w:t xml:space="preserve"> April 2026</w:t>
      </w:r>
    </w:p>
    <w:p w14:paraId="7788E815" w14:textId="45E330E2" w:rsidR="00E207BF" w:rsidRPr="007906FC" w:rsidRDefault="00C4637B">
      <w:r w:rsidRPr="007906FC">
        <w:t xml:space="preserve">Review Due: </w:t>
      </w:r>
      <w:r w:rsidR="007906FC">
        <w:t>April 2027</w:t>
      </w:r>
    </w:p>
    <w:p w14:paraId="5A3C587A" w14:textId="4CDE3EE8" w:rsidR="00E207BF" w:rsidRPr="007906FC" w:rsidRDefault="00C4637B">
      <w:r w:rsidRPr="007906FC">
        <w:t>Approved by</w:t>
      </w:r>
      <w:r w:rsidR="006A170B" w:rsidRPr="007906FC">
        <w:t>:</w:t>
      </w:r>
      <w:r w:rsidR="007906FC">
        <w:t xml:space="preserve"> Board of Trustees</w:t>
      </w:r>
    </w:p>
    <w:sectPr w:rsidR="00E207BF" w:rsidRPr="007906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8739309">
    <w:abstractNumId w:val="8"/>
  </w:num>
  <w:num w:numId="2" w16cid:durableId="235828241">
    <w:abstractNumId w:val="6"/>
  </w:num>
  <w:num w:numId="3" w16cid:durableId="524834617">
    <w:abstractNumId w:val="5"/>
  </w:num>
  <w:num w:numId="4" w16cid:durableId="678429202">
    <w:abstractNumId w:val="4"/>
  </w:num>
  <w:num w:numId="5" w16cid:durableId="1957251374">
    <w:abstractNumId w:val="7"/>
  </w:num>
  <w:num w:numId="6" w16cid:durableId="1661808146">
    <w:abstractNumId w:val="3"/>
  </w:num>
  <w:num w:numId="7" w16cid:durableId="380977564">
    <w:abstractNumId w:val="2"/>
  </w:num>
  <w:num w:numId="8" w16cid:durableId="10105481">
    <w:abstractNumId w:val="1"/>
  </w:num>
  <w:num w:numId="9" w16cid:durableId="98916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FF"/>
    <w:rsid w:val="00034616"/>
    <w:rsid w:val="0006063C"/>
    <w:rsid w:val="0015074B"/>
    <w:rsid w:val="0029639D"/>
    <w:rsid w:val="00326F90"/>
    <w:rsid w:val="00330A54"/>
    <w:rsid w:val="00473FC4"/>
    <w:rsid w:val="005331DA"/>
    <w:rsid w:val="00604C13"/>
    <w:rsid w:val="006A170B"/>
    <w:rsid w:val="00780BFF"/>
    <w:rsid w:val="007906FC"/>
    <w:rsid w:val="00AA1D8D"/>
    <w:rsid w:val="00B47730"/>
    <w:rsid w:val="00CB0664"/>
    <w:rsid w:val="00CF2B32"/>
    <w:rsid w:val="00E207BF"/>
    <w:rsid w:val="00F659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388D5"/>
  <w14:defaultImageDpi w14:val="300"/>
  <w15:docId w15:val="{B8C3B9E0-159C-46CB-AF3A-6FEA7A6C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581</Words>
  <Characters>3814</Characters>
  <Application>Microsoft Office Word</Application>
  <DocSecurity>0</DocSecurity>
  <Lines>79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Miranda Mason</cp:lastModifiedBy>
  <cp:revision>4</cp:revision>
  <dcterms:created xsi:type="dcterms:W3CDTF">2026-04-21T09:23:00Z</dcterms:created>
  <dcterms:modified xsi:type="dcterms:W3CDTF">2026-04-21T09:31:00Z</dcterms:modified>
  <cp:category/>
</cp:coreProperties>
</file>